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6F" w:rsidRPr="00663B6F" w:rsidRDefault="00663B6F" w:rsidP="00663B6F">
      <w:pPr>
        <w:ind w:firstLine="708"/>
        <w:jc w:val="center"/>
        <w:rPr>
          <w:rStyle w:val="Textoennegrita"/>
          <w:u w:val="single"/>
          <w:lang w:val="es-ES"/>
        </w:rPr>
      </w:pPr>
      <w:bookmarkStart w:id="0" w:name="_GoBack"/>
      <w:bookmarkEnd w:id="0"/>
      <w:r w:rsidRPr="00663B6F">
        <w:rPr>
          <w:rStyle w:val="Textoennegrita"/>
          <w:u w:val="single"/>
          <w:lang w:val="es-ES"/>
        </w:rPr>
        <w:t>FICHA TECNICA</w:t>
      </w:r>
    </w:p>
    <w:p w:rsidR="005E4A61" w:rsidRDefault="00663B6F" w:rsidP="00663B6F">
      <w:pPr>
        <w:ind w:firstLine="708"/>
        <w:jc w:val="center"/>
        <w:rPr>
          <w:rStyle w:val="Textoennegrita"/>
          <w:sz w:val="32"/>
          <w:szCs w:val="32"/>
          <w:lang w:val="es-ES"/>
        </w:rPr>
      </w:pPr>
      <w:proofErr w:type="spellStart"/>
      <w:r w:rsidRPr="00663B6F">
        <w:rPr>
          <w:rStyle w:val="Textoennegrita"/>
          <w:sz w:val="32"/>
          <w:szCs w:val="32"/>
          <w:lang w:val="es-ES"/>
        </w:rPr>
        <w:t>Tobradex</w:t>
      </w:r>
      <w:proofErr w:type="spellEnd"/>
      <w:r w:rsidRPr="00663B6F">
        <w:rPr>
          <w:rStyle w:val="Textoennegrita"/>
          <w:sz w:val="32"/>
          <w:szCs w:val="32"/>
          <w:lang w:val="es-ES"/>
        </w:rPr>
        <w:t xml:space="preserve"> ungüento oftálmico</w:t>
      </w:r>
    </w:p>
    <w:p w:rsidR="00663B6F" w:rsidRPr="00663B6F" w:rsidRDefault="00663B6F" w:rsidP="00663B6F">
      <w:pPr>
        <w:ind w:firstLine="708"/>
        <w:jc w:val="both"/>
        <w:rPr>
          <w:rFonts w:asciiTheme="majorHAnsi" w:hAnsiTheme="majorHAnsi" w:cs="Helvetica"/>
          <w:color w:val="222222"/>
          <w:sz w:val="28"/>
          <w:szCs w:val="28"/>
          <w:lang w:val="es-ES"/>
        </w:rPr>
      </w:pPr>
      <w:r>
        <w:rPr>
          <w:rFonts w:ascii="Trebuchet MS" w:hAnsi="Trebuchet MS" w:cs="Helvetica"/>
          <w:color w:val="222222"/>
          <w:lang w:val="es-ES"/>
        </w:rPr>
        <w:br/>
      </w:r>
      <w:r w:rsidRPr="00663B6F">
        <w:rPr>
          <w:rFonts w:asciiTheme="majorHAnsi" w:hAnsiTheme="majorHAnsi" w:cs="Helvetica"/>
          <w:b/>
          <w:color w:val="222222"/>
          <w:sz w:val="28"/>
          <w:szCs w:val="28"/>
          <w:lang w:val="es-ES"/>
        </w:rPr>
        <w:t>ATC:</w:t>
      </w:r>
      <w:r>
        <w:rPr>
          <w:rFonts w:asciiTheme="majorHAnsi" w:hAnsiTheme="majorHAnsi" w:cs="Helvetica"/>
          <w:color w:val="222222"/>
          <w:sz w:val="28"/>
          <w:szCs w:val="28"/>
          <w:lang w:val="es-ES"/>
        </w:rPr>
        <w:t xml:space="preserve"> Dexametasona + T</w:t>
      </w:r>
      <w:r w:rsidRPr="00663B6F">
        <w:rPr>
          <w:rFonts w:asciiTheme="majorHAnsi" w:hAnsiTheme="majorHAnsi" w:cs="Helvetica"/>
          <w:color w:val="222222"/>
          <w:sz w:val="28"/>
          <w:szCs w:val="28"/>
          <w:lang w:val="es-ES"/>
        </w:rPr>
        <w:t>obramicina</w:t>
      </w:r>
      <w:r>
        <w:rPr>
          <w:rFonts w:asciiTheme="majorHAnsi" w:hAnsiTheme="majorHAnsi" w:cs="Helvetica"/>
          <w:color w:val="222222"/>
          <w:sz w:val="28"/>
          <w:szCs w:val="28"/>
          <w:lang w:val="es-ES"/>
        </w:rPr>
        <w:t xml:space="preserve">, Ungüento </w:t>
      </w:r>
      <w:proofErr w:type="spellStart"/>
      <w:r>
        <w:rPr>
          <w:rFonts w:asciiTheme="majorHAnsi" w:hAnsiTheme="majorHAnsi" w:cs="Helvetica"/>
          <w:color w:val="222222"/>
          <w:sz w:val="28"/>
          <w:szCs w:val="28"/>
          <w:lang w:val="es-ES"/>
        </w:rPr>
        <w:t>Oftalmico</w:t>
      </w:r>
      <w:proofErr w:type="spellEnd"/>
    </w:p>
    <w:p w:rsidR="00663B6F" w:rsidRPr="00663B6F" w:rsidRDefault="00663B6F" w:rsidP="00663B6F">
      <w:pPr>
        <w:ind w:firstLine="708"/>
        <w:jc w:val="both"/>
        <w:rPr>
          <w:rFonts w:asciiTheme="majorHAnsi" w:hAnsiTheme="majorHAnsi" w:cs="Helvetica"/>
          <w:color w:val="222222"/>
          <w:sz w:val="28"/>
          <w:szCs w:val="28"/>
          <w:lang w:val="es-ES"/>
        </w:rPr>
      </w:pPr>
    </w:p>
    <w:p w:rsidR="00663B6F" w:rsidRPr="00663B6F" w:rsidRDefault="00663B6F" w:rsidP="00663B6F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8"/>
          <w:szCs w:val="28"/>
          <w:lang w:val="es-ES"/>
        </w:rPr>
      </w:pPr>
      <w:r w:rsidRPr="00663B6F">
        <w:rPr>
          <w:rFonts w:asciiTheme="majorHAnsi" w:eastAsia="Times New Roman" w:hAnsiTheme="majorHAnsi" w:cs="Times New Roman"/>
          <w:b/>
          <w:bCs/>
          <w:sz w:val="28"/>
          <w:szCs w:val="28"/>
          <w:lang w:val="es-ES"/>
        </w:rPr>
        <w:t>Composición: Ungüento oftálmico:</w:t>
      </w:r>
      <w:r w:rsidRPr="00663B6F">
        <w:rPr>
          <w:rFonts w:asciiTheme="majorHAnsi" w:eastAsia="Times New Roman" w:hAnsiTheme="majorHAnsi" w:cs="Times New Roman"/>
          <w:sz w:val="28"/>
          <w:szCs w:val="28"/>
          <w:lang w:val="es-ES"/>
        </w:rPr>
        <w:t xml:space="preserve"> cada g de ungüento oftálmico estéril contiene: Tobramicina 3 mg; Dexametasona 1 mg. Preservante: </w:t>
      </w:r>
      <w:proofErr w:type="spellStart"/>
      <w:r w:rsidRPr="00663B6F">
        <w:rPr>
          <w:rFonts w:asciiTheme="majorHAnsi" w:eastAsia="Times New Roman" w:hAnsiTheme="majorHAnsi" w:cs="Times New Roman"/>
          <w:sz w:val="28"/>
          <w:szCs w:val="28"/>
          <w:lang w:val="es-ES"/>
        </w:rPr>
        <w:t>Clorobutanol</w:t>
      </w:r>
      <w:proofErr w:type="spellEnd"/>
      <w:r w:rsidRPr="00663B6F">
        <w:rPr>
          <w:rFonts w:asciiTheme="majorHAnsi" w:eastAsia="Times New Roman" w:hAnsiTheme="majorHAnsi" w:cs="Times New Roman"/>
          <w:sz w:val="28"/>
          <w:szCs w:val="28"/>
          <w:lang w:val="es-ES"/>
        </w:rPr>
        <w:t xml:space="preserve"> 5 mg. Excipientes: Aceite mineral y </w:t>
      </w:r>
      <w:proofErr w:type="spellStart"/>
      <w:r w:rsidRPr="00663B6F">
        <w:rPr>
          <w:rFonts w:asciiTheme="majorHAnsi" w:eastAsia="Times New Roman" w:hAnsiTheme="majorHAnsi" w:cs="Times New Roman"/>
          <w:sz w:val="28"/>
          <w:szCs w:val="28"/>
          <w:lang w:val="es-ES"/>
        </w:rPr>
        <w:t>Petrolato</w:t>
      </w:r>
      <w:proofErr w:type="spellEnd"/>
      <w:r w:rsidRPr="00663B6F">
        <w:rPr>
          <w:rFonts w:asciiTheme="majorHAnsi" w:eastAsia="Times New Roman" w:hAnsiTheme="majorHAnsi" w:cs="Times New Roman"/>
          <w:sz w:val="28"/>
          <w:szCs w:val="28"/>
          <w:lang w:val="es-ES"/>
        </w:rPr>
        <w:t xml:space="preserve"> blanco. </w:t>
      </w:r>
    </w:p>
    <w:p w:rsidR="00663B6F" w:rsidRPr="00663B6F" w:rsidRDefault="00663B6F" w:rsidP="00663B6F">
      <w:pPr>
        <w:spacing w:after="0" w:line="240" w:lineRule="auto"/>
        <w:jc w:val="both"/>
        <w:rPr>
          <w:rFonts w:asciiTheme="majorHAnsi" w:eastAsia="Times New Roman" w:hAnsiTheme="majorHAnsi" w:cs="Arial"/>
          <w:color w:val="222222"/>
          <w:sz w:val="28"/>
          <w:szCs w:val="28"/>
          <w:lang w:val="es-ES"/>
        </w:rPr>
      </w:pPr>
      <w:r w:rsidRPr="00663B6F">
        <w:rPr>
          <w:rFonts w:asciiTheme="majorHAnsi" w:eastAsia="Times New Roman" w:hAnsiTheme="majorHAnsi" w:cs="Times New Roman"/>
          <w:b/>
          <w:bCs/>
          <w:sz w:val="28"/>
          <w:szCs w:val="28"/>
          <w:lang w:val="es-ES"/>
        </w:rPr>
        <w:t>Indicaciones:</w:t>
      </w:r>
      <w:r w:rsidRPr="00663B6F">
        <w:rPr>
          <w:rFonts w:asciiTheme="majorHAnsi" w:eastAsia="Times New Roman" w:hAnsiTheme="majorHAnsi" w:cs="Times New Roman"/>
          <w:sz w:val="28"/>
          <w:szCs w:val="28"/>
          <w:lang w:val="es-ES"/>
        </w:rPr>
        <w:t xml:space="preserve"> Condiciones oculares inflamatorias que responden a los esteroides, y en las cuales además existe riesgo de una infección ocular bacteriana superficial, o la existencia de la </w:t>
      </w:r>
      <w:proofErr w:type="gramStart"/>
      <w:r w:rsidRPr="00663B6F">
        <w:rPr>
          <w:rFonts w:asciiTheme="majorHAnsi" w:eastAsia="Times New Roman" w:hAnsiTheme="majorHAnsi" w:cs="Times New Roman"/>
          <w:sz w:val="28"/>
          <w:szCs w:val="28"/>
          <w:lang w:val="es-ES"/>
        </w:rPr>
        <w:t>misma.(</w:t>
      </w:r>
      <w:proofErr w:type="gramEnd"/>
      <w:r w:rsidRPr="00663B6F">
        <w:rPr>
          <w:rFonts w:asciiTheme="majorHAnsi" w:eastAsia="Times New Roman" w:hAnsiTheme="majorHAnsi" w:cs="Times New Roman"/>
          <w:sz w:val="28"/>
          <w:szCs w:val="28"/>
          <w:lang w:val="es-ES"/>
        </w:rPr>
        <w:t xml:space="preserve"> </w:t>
      </w:r>
      <w:r w:rsidRPr="00663B6F">
        <w:rPr>
          <w:rFonts w:asciiTheme="majorHAnsi" w:eastAsia="Times New Roman" w:hAnsiTheme="majorHAnsi" w:cs="Arial"/>
          <w:color w:val="222222"/>
          <w:sz w:val="28"/>
          <w:szCs w:val="28"/>
          <w:lang w:val="es-ES"/>
        </w:rPr>
        <w:t>Proceso inflamatorio del segmento anterior del ojo, asociado a infección bacteriana superficial o con riesgo de dicha infección.)</w:t>
      </w:r>
    </w:p>
    <w:p w:rsidR="00663B6F" w:rsidRPr="00663B6F" w:rsidRDefault="00663B6F" w:rsidP="00663B6F">
      <w:pPr>
        <w:spacing w:after="0" w:line="240" w:lineRule="auto"/>
        <w:jc w:val="both"/>
        <w:rPr>
          <w:rFonts w:asciiTheme="majorHAnsi" w:eastAsia="Times New Roman" w:hAnsiTheme="majorHAnsi" w:cs="Arial"/>
          <w:color w:val="222222"/>
          <w:sz w:val="28"/>
          <w:szCs w:val="28"/>
          <w:lang w:val="es-ES"/>
        </w:rPr>
      </w:pPr>
    </w:p>
    <w:p w:rsidR="00663B6F" w:rsidRPr="00663B6F" w:rsidRDefault="00663B6F" w:rsidP="00663B6F">
      <w:pPr>
        <w:jc w:val="both"/>
        <w:rPr>
          <w:rFonts w:asciiTheme="majorHAnsi" w:eastAsia="Times New Roman" w:hAnsiTheme="majorHAnsi" w:cs="Arial"/>
          <w:b/>
          <w:sz w:val="28"/>
          <w:szCs w:val="28"/>
          <w:u w:val="single"/>
          <w:lang w:val="es-ES"/>
        </w:rPr>
      </w:pPr>
      <w:r w:rsidRPr="00663B6F">
        <w:rPr>
          <w:rFonts w:asciiTheme="majorHAnsi" w:hAnsiTheme="majorHAnsi"/>
          <w:b/>
          <w:bCs/>
          <w:sz w:val="28"/>
          <w:szCs w:val="28"/>
          <w:lang w:val="es-ES"/>
        </w:rPr>
        <w:t>Presentación: Ungüento oftálmico:</w:t>
      </w:r>
      <w:r w:rsidRPr="00663B6F">
        <w:rPr>
          <w:rFonts w:asciiTheme="majorHAnsi" w:hAnsiTheme="majorHAnsi"/>
          <w:sz w:val="28"/>
          <w:szCs w:val="28"/>
          <w:lang w:val="es-ES"/>
        </w:rPr>
        <w:t xml:space="preserve"> envase conteniendo 3.5 g.</w:t>
      </w:r>
    </w:p>
    <w:sectPr w:rsidR="00663B6F" w:rsidRPr="00663B6F" w:rsidSect="00421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ED3" w:rsidRDefault="00610ED3" w:rsidP="00C06B3D">
      <w:pPr>
        <w:spacing w:after="0" w:line="240" w:lineRule="auto"/>
      </w:pPr>
      <w:r>
        <w:separator/>
      </w:r>
    </w:p>
  </w:endnote>
  <w:endnote w:type="continuationSeparator" w:id="0">
    <w:p w:rsidR="00610ED3" w:rsidRDefault="00610ED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C3" w:rsidRDefault="00D666C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EB1" w:rsidRDefault="0056416E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55880" b="100965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339337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CN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z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T4hwj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9C0EB1" w:rsidRDefault="0056416E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55880" b="10096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90EC28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9C0EB1" w:rsidRDefault="009C0EB1" w:rsidP="009C0EB1">
    <w:pPr>
      <w:pStyle w:val="Piedepgina"/>
      <w:jc w:val="center"/>
      <w:rPr>
        <w:noProof/>
        <w:color w:val="006666"/>
      </w:rPr>
    </w:pPr>
  </w:p>
  <w:p w:rsidR="0023567C" w:rsidRDefault="0023567C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C06B3D" w:rsidRPr="0023567C" w:rsidRDefault="0023567C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C3" w:rsidRDefault="00D666C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ED3" w:rsidRDefault="00610ED3" w:rsidP="00C06B3D">
      <w:pPr>
        <w:spacing w:after="0" w:line="240" w:lineRule="auto"/>
      </w:pPr>
      <w:r>
        <w:separator/>
      </w:r>
    </w:p>
  </w:footnote>
  <w:footnote w:type="continuationSeparator" w:id="0">
    <w:p w:rsidR="00610ED3" w:rsidRDefault="00610ED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C3" w:rsidRDefault="00D666C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B3D" w:rsidRDefault="004D4B7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-876300</wp:posOffset>
          </wp:positionV>
          <wp:extent cx="3619500" cy="1357630"/>
          <wp:effectExtent l="0" t="0" r="0" b="0"/>
          <wp:wrapThrough wrapText="bothSides">
            <wp:wrapPolygon edited="0">
              <wp:start x="0" y="0"/>
              <wp:lineTo x="0" y="20913"/>
              <wp:lineTo x="227" y="20913"/>
              <wp:lineTo x="4206" y="19398"/>
              <wp:lineTo x="7958" y="16670"/>
              <wp:lineTo x="7844" y="14548"/>
              <wp:lineTo x="21145" y="13336"/>
              <wp:lineTo x="21145" y="10002"/>
              <wp:lineTo x="17735" y="9699"/>
              <wp:lineTo x="17848" y="8183"/>
              <wp:lineTo x="11823" y="4849"/>
              <wp:lineTo x="18758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619500" cy="13576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567C"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5334000</wp:posOffset>
          </wp:positionH>
          <wp:positionV relativeFrom="paragraph">
            <wp:posOffset>-314325</wp:posOffset>
          </wp:positionV>
          <wp:extent cx="1076325" cy="1152525"/>
          <wp:effectExtent l="19050" t="0" r="9525" b="0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3567C" w:rsidRDefault="0023567C">
    <w:pPr>
      <w:pStyle w:val="Encabezado"/>
    </w:pPr>
  </w:p>
  <w:p w:rsidR="0023567C" w:rsidRPr="0023567C" w:rsidRDefault="0023567C" w:rsidP="0023567C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:rsidR="0023567C" w:rsidRDefault="001858C8" w:rsidP="004D4B71">
    <w:pPr>
      <w:pStyle w:val="msonospacing0"/>
      <w:jc w:val="center"/>
      <w:rPr>
        <w:color w:val="008000"/>
        <w:lang w:val="es-DO"/>
      </w:rPr>
    </w:pPr>
    <w:r>
      <w:rPr>
        <w:color w:val="008000"/>
        <w:lang w:val="es-DO"/>
      </w:rPr>
      <w:t xml:space="preserve">               </w:t>
    </w:r>
    <w:r w:rsidR="0023567C" w:rsidRPr="0023567C">
      <w:rPr>
        <w:color w:val="008000"/>
        <w:lang w:val="es-DO"/>
      </w:rPr>
      <w:t>Centro Cardio-Neuro Oftalmológico y Trasplante</w:t>
    </w:r>
  </w:p>
  <w:p w:rsidR="0023567C" w:rsidRPr="0023567C" w:rsidRDefault="0023567C" w:rsidP="004D4B71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:rsidR="0023567C" w:rsidRPr="0023567C" w:rsidRDefault="004D4B71" w:rsidP="004D4B71">
    <w:pPr>
      <w:pStyle w:val="msonospacing0"/>
      <w:rPr>
        <w:lang w:val="es-DO"/>
      </w:rPr>
    </w:pPr>
    <w:r>
      <w:rPr>
        <w:lang w:val="es-DO"/>
      </w:rPr>
      <w:t xml:space="preserve">                                                                    </w:t>
    </w:r>
    <w:r w:rsidR="001858C8">
      <w:rPr>
        <w:lang w:val="es-DO"/>
      </w:rPr>
      <w:t xml:space="preserve">  </w:t>
    </w:r>
    <w:r w:rsidR="0023567C" w:rsidRPr="0023567C">
      <w:rPr>
        <w:lang w:val="es-DO"/>
      </w:rPr>
      <w:t>RNC  4-3006</w:t>
    </w:r>
    <w:r>
      <w:rPr>
        <w:lang w:val="es-DO"/>
      </w:rPr>
      <w:t xml:space="preserve"> </w:t>
    </w:r>
    <w:r w:rsidR="0023567C" w:rsidRPr="0023567C">
      <w:rPr>
        <w:lang w:val="es-DO"/>
      </w:rPr>
      <w:t>345-2</w:t>
    </w:r>
  </w:p>
  <w:p w:rsidR="0023567C" w:rsidRPr="0023567C" w:rsidRDefault="0023567C" w:rsidP="0023567C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="00FF2C01">
      <w:rPr>
        <w:rFonts w:ascii="Calibri" w:eastAsia="Calibri" w:hAnsi="Calibri" w:cs="Times New Roman"/>
        <w:b/>
        <w:lang w:val="es-DO"/>
      </w:rPr>
      <w:t>“Año de la</w:t>
    </w:r>
    <w:r w:rsidR="009B276D">
      <w:rPr>
        <w:rFonts w:ascii="Calibri" w:eastAsia="Calibri" w:hAnsi="Calibri" w:cs="Times New Roman"/>
        <w:b/>
        <w:lang w:val="es-DO"/>
      </w:rPr>
      <w:t xml:space="preserve"> Consolidación de la Seguridad Alimentaria</w:t>
    </w:r>
    <w:r w:rsidRPr="0023567C">
      <w:rPr>
        <w:rFonts w:ascii="Calibri" w:eastAsia="Calibri" w:hAnsi="Calibri" w:cs="Times New Roman"/>
        <w:b/>
        <w:lang w:val="es-DO"/>
      </w:rPr>
      <w:t>”</w:t>
    </w:r>
  </w:p>
  <w:p w:rsidR="0023567C" w:rsidRPr="0023567C" w:rsidRDefault="0023567C">
    <w:pPr>
      <w:pStyle w:val="Encabezado"/>
      <w:rPr>
        <w:lang w:val="es-D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C3" w:rsidRDefault="00D666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57CD4"/>
    <w:multiLevelType w:val="multilevel"/>
    <w:tmpl w:val="5DCC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90E83"/>
    <w:rsid w:val="000C221B"/>
    <w:rsid w:val="000C73D5"/>
    <w:rsid w:val="000D78FC"/>
    <w:rsid w:val="001858C8"/>
    <w:rsid w:val="00197BD0"/>
    <w:rsid w:val="001C3FD2"/>
    <w:rsid w:val="001E6524"/>
    <w:rsid w:val="002050CD"/>
    <w:rsid w:val="002225A7"/>
    <w:rsid w:val="0023567C"/>
    <w:rsid w:val="00246A45"/>
    <w:rsid w:val="00280F61"/>
    <w:rsid w:val="00293D1E"/>
    <w:rsid w:val="00294E91"/>
    <w:rsid w:val="002D7F02"/>
    <w:rsid w:val="00312A66"/>
    <w:rsid w:val="00344ACB"/>
    <w:rsid w:val="00344BC0"/>
    <w:rsid w:val="00346356"/>
    <w:rsid w:val="00387996"/>
    <w:rsid w:val="003903A8"/>
    <w:rsid w:val="003B0E3C"/>
    <w:rsid w:val="00421553"/>
    <w:rsid w:val="00425C57"/>
    <w:rsid w:val="00476D2D"/>
    <w:rsid w:val="004D4B71"/>
    <w:rsid w:val="004F17F5"/>
    <w:rsid w:val="005018C4"/>
    <w:rsid w:val="0054367A"/>
    <w:rsid w:val="00560912"/>
    <w:rsid w:val="0056416E"/>
    <w:rsid w:val="005D270B"/>
    <w:rsid w:val="005E4A61"/>
    <w:rsid w:val="00610ED3"/>
    <w:rsid w:val="00615B1B"/>
    <w:rsid w:val="0065168F"/>
    <w:rsid w:val="00654B44"/>
    <w:rsid w:val="00663B6F"/>
    <w:rsid w:val="006F1CE9"/>
    <w:rsid w:val="007009AD"/>
    <w:rsid w:val="007E4F22"/>
    <w:rsid w:val="008502DA"/>
    <w:rsid w:val="0085490D"/>
    <w:rsid w:val="00872DF9"/>
    <w:rsid w:val="008A5534"/>
    <w:rsid w:val="008B425A"/>
    <w:rsid w:val="008B7E98"/>
    <w:rsid w:val="0092028E"/>
    <w:rsid w:val="00945F3B"/>
    <w:rsid w:val="009501B3"/>
    <w:rsid w:val="009A1F6C"/>
    <w:rsid w:val="009B06D6"/>
    <w:rsid w:val="009B276D"/>
    <w:rsid w:val="009C0EB1"/>
    <w:rsid w:val="009C4972"/>
    <w:rsid w:val="009F0477"/>
    <w:rsid w:val="00A914E7"/>
    <w:rsid w:val="00A93F16"/>
    <w:rsid w:val="00BC6C73"/>
    <w:rsid w:val="00C06B3D"/>
    <w:rsid w:val="00C21BDF"/>
    <w:rsid w:val="00C524C9"/>
    <w:rsid w:val="00CC64F6"/>
    <w:rsid w:val="00CF55D2"/>
    <w:rsid w:val="00D666C3"/>
    <w:rsid w:val="00D71F95"/>
    <w:rsid w:val="00D9360D"/>
    <w:rsid w:val="00E80C9F"/>
    <w:rsid w:val="00F5649B"/>
    <w:rsid w:val="00FF0674"/>
    <w:rsid w:val="00FF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D6014C7-FF08-4220-B2BE-BFD04AAF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9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59"/>
    <w:rsid w:val="00A93F16"/>
    <w:pPr>
      <w:spacing w:after="0" w:line="240" w:lineRule="auto"/>
    </w:pPr>
    <w:rPr>
      <w:lang w:val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4F17F5"/>
    <w:pPr>
      <w:spacing w:after="0" w:line="240" w:lineRule="auto"/>
    </w:pPr>
    <w:rPr>
      <w:lang w:val="es-DO"/>
    </w:rPr>
  </w:style>
  <w:style w:type="character" w:styleId="Textoennegrita">
    <w:name w:val="Strong"/>
    <w:basedOn w:val="Fuentedeprrafopredeter"/>
    <w:uiPriority w:val="22"/>
    <w:qFormat/>
    <w:rsid w:val="00663B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3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2F58B-3124-4965-8ED8-B1F0CEE6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Glennys Ceballos</cp:lastModifiedBy>
  <cp:revision>2</cp:revision>
  <cp:lastPrinted>2020-08-11T19:46:00Z</cp:lastPrinted>
  <dcterms:created xsi:type="dcterms:W3CDTF">2020-11-02T18:11:00Z</dcterms:created>
  <dcterms:modified xsi:type="dcterms:W3CDTF">2020-11-02T18:11:00Z</dcterms:modified>
</cp:coreProperties>
</file>